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D437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DFF1" w14:textId="77777777" w:rsidR="00D43758" w:rsidRDefault="00D4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02F57A02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A76B47">
      <w:rPr>
        <w:rFonts w:ascii="Arial" w:hAnsi="Arial" w:cs="Arial"/>
        <w:i/>
        <w:iCs/>
        <w:sz w:val="20"/>
        <w:szCs w:val="20"/>
      </w:rPr>
      <w:t>3</w:t>
    </w:r>
    <w:r w:rsidRPr="0083620C">
      <w:rPr>
        <w:rFonts w:ascii="Arial" w:hAnsi="Arial" w:cs="Arial"/>
        <w:sz w:val="20"/>
        <w:szCs w:val="20"/>
      </w:rPr>
      <w:t xml:space="preserve"> (Early Years Alliance 202</w:t>
    </w:r>
    <w:r w:rsidR="00A76B47">
      <w:rPr>
        <w:rFonts w:ascii="Arial" w:hAnsi="Arial" w:cs="Arial"/>
        <w:sz w:val="20"/>
        <w:szCs w:val="20"/>
      </w:rPr>
      <w:t>3</w:t>
    </w:r>
    <w:r w:rsidRPr="0083620C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3BC0" w14:textId="393418B5" w:rsidR="00D43758" w:rsidRPr="00D43758" w:rsidRDefault="00D43758" w:rsidP="00D43758">
    <w:pPr>
      <w:tabs>
        <w:tab w:val="center" w:pos="4513"/>
        <w:tab w:val="right" w:pos="9026"/>
      </w:tabs>
      <w:jc w:val="center"/>
      <w:rPr>
        <w:rFonts w:ascii="Arial" w:hAnsi="Arial" w:cs="Arial"/>
        <w:i/>
        <w:iCs/>
        <w:sz w:val="20"/>
        <w:szCs w:val="20"/>
      </w:rPr>
    </w:pPr>
    <w:r w:rsidRPr="00D43758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CEF5" w14:textId="77777777" w:rsidR="00D43758" w:rsidRDefault="00D4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BB7F" w14:textId="77777777" w:rsidR="00D43758" w:rsidRDefault="00D43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D0B0" w14:textId="77777777" w:rsidR="00D43758" w:rsidRDefault="00D43758" w:rsidP="00D43758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2"/>
        <w:sz w:val="20"/>
        <w:szCs w:val="20"/>
        <w:lang w:eastAsia="ar-SA"/>
      </w:rPr>
    </w:pPr>
    <w:bookmarkStart w:id="0" w:name="_Hlk127952199"/>
    <w:r>
      <w:rPr>
        <w:noProof/>
        <w:kern w:val="2"/>
        <w:sz w:val="20"/>
        <w:szCs w:val="20"/>
        <w:lang w:eastAsia="ar-SA"/>
      </w:rPr>
      <w:drawing>
        <wp:inline distT="0" distB="0" distL="0" distR="0" wp14:anchorId="7654AE9F" wp14:editId="29BBFCEE">
          <wp:extent cx="3048000" cy="1082040"/>
          <wp:effectExtent l="0" t="0" r="0" b="3810"/>
          <wp:docPr id="661067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F9E51" w14:textId="77777777" w:rsidR="00D43758" w:rsidRDefault="00D43758" w:rsidP="00D43758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hyperlink r:id="rId2" w:history="1">
      <w:r>
        <w:rPr>
          <w:rStyle w:val="Hyperlink"/>
          <w:rFonts w:ascii="Arial" w:hAnsi="Arial" w:cs="Arial"/>
          <w:kern w:val="2"/>
          <w:sz w:val="20"/>
          <w:szCs w:val="20"/>
          <w:lang w:eastAsia="ar-SA"/>
        </w:rPr>
        <w:t>www.oldnewtonunderfives.co.uk</w:t>
      </w:r>
    </w:hyperlink>
    <w:r>
      <w:rPr>
        <w:rFonts w:ascii="Arial" w:hAnsi="Arial" w:cs="Arial"/>
        <w:kern w:val="2"/>
        <w:sz w:val="20"/>
        <w:szCs w:val="20"/>
        <w:lang w:eastAsia="ar-SA"/>
      </w:rPr>
      <w:t xml:space="preserve"> </w:t>
    </w:r>
  </w:p>
  <w:p w14:paraId="59C973F9" w14:textId="77777777" w:rsidR="00D43758" w:rsidRDefault="00D43758" w:rsidP="00D43758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r>
      <w:rPr>
        <w:rFonts w:ascii="Arial" w:hAnsi="Arial" w:cs="Arial"/>
        <w:kern w:val="2"/>
        <w:sz w:val="20"/>
        <w:szCs w:val="20"/>
        <w:lang w:eastAsia="ar-SA"/>
      </w:rPr>
      <w:t>Village Hall, Church Road, Old Newton, IP14 4ED</w:t>
    </w:r>
  </w:p>
  <w:p w14:paraId="5E5B14E8" w14:textId="4911EBA6" w:rsidR="00712A13" w:rsidRPr="00712A13" w:rsidRDefault="00D43758" w:rsidP="00712A13">
    <w:pPr>
      <w:widowControl w:val="0"/>
      <w:suppressAutoHyphens/>
      <w:overflowPunct w:val="0"/>
      <w:autoSpaceDE w:val="0"/>
      <w:jc w:val="center"/>
    </w:pPr>
    <w:r>
      <w:rPr>
        <w:rFonts w:ascii="Arial" w:hAnsi="Arial" w:cs="Arial"/>
        <w:kern w:val="2"/>
        <w:sz w:val="20"/>
        <w:szCs w:val="20"/>
        <w:lang w:eastAsia="ar-SA"/>
      </w:rPr>
      <w:t xml:space="preserve"> Preschool: 07871858183 Registered Charity Number: 1194904 Email: </w:t>
    </w:r>
    <w:hyperlink r:id="rId3" w:history="1">
      <w:r>
        <w:rPr>
          <w:rStyle w:val="Hyperlink"/>
          <w:rFonts w:ascii="Arial" w:hAnsi="Arial" w:cs="Arial"/>
          <w:color w:val="0563C1"/>
          <w:kern w:val="2"/>
          <w:sz w:val="20"/>
          <w:szCs w:val="20"/>
          <w:lang w:eastAsia="ar-SA"/>
        </w:rPr>
        <w:t>oldnewtonunderfives@outlook.com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2A13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3758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Old Newton Under Fives</cp:lastModifiedBy>
  <cp:revision>3</cp:revision>
  <cp:lastPrinted>2011-08-21T10:18:00Z</cp:lastPrinted>
  <dcterms:created xsi:type="dcterms:W3CDTF">2024-04-04T21:14:00Z</dcterms:created>
  <dcterms:modified xsi:type="dcterms:W3CDTF">2024-04-04T21:14:00Z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